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BF0267" w14:textId="35AD095F" w:rsidR="009376A1" w:rsidRDefault="009376A1" w:rsidP="009376A1">
      <w:pPr>
        <w:pStyle w:val="Title"/>
      </w:pPr>
      <w:r>
        <w:t>Conflict Resolution Policy for Killick Medical Services Ltd Training Courses</w:t>
      </w:r>
    </w:p>
    <w:p w14:paraId="3D5E4CC2" w14:textId="77777777" w:rsidR="009376A1" w:rsidRDefault="009376A1" w:rsidP="009376A1">
      <w:pPr>
        <w:pStyle w:val="Subtitle"/>
      </w:pPr>
      <w:r>
        <w:t>Guiding Principles and Procedures for Managing Disputes in Learning Environments</w:t>
      </w:r>
    </w:p>
    <w:p w14:paraId="266E3615" w14:textId="77777777" w:rsidR="009376A1" w:rsidRDefault="009376A1" w:rsidP="009376A1">
      <w:pPr>
        <w:pStyle w:val="Heading1"/>
      </w:pPr>
      <w:r>
        <w:t>Introduction</w:t>
      </w:r>
    </w:p>
    <w:p w14:paraId="195CD622" w14:textId="77777777" w:rsidR="009376A1" w:rsidRDefault="009376A1" w:rsidP="009376A1">
      <w:r w:rsidRPr="009376A1">
        <w:t>Conflict is an inherent aspect of human interaction, and even in educational settings—where the primary goal is learning and growth—differences in opinion, misunderstandings, and disputes may arise. Training courses, whether in-person or virtual, bring together individuals from diverse backgrounds, disciplines, and perspectives, making the possibility of conflict ever-present. A comprehensive conflict resolution policy is essential to ensure a safe, respectful, and productive learning environment for all participants.</w:t>
      </w:r>
    </w:p>
    <w:p w14:paraId="7983561E" w14:textId="77777777" w:rsidR="009376A1" w:rsidRDefault="009376A1" w:rsidP="009376A1">
      <w:r w:rsidRPr="009376A1">
        <w:t>This document outlines the Conflict Resolution Policy for Training Courses, detailing the guiding principles, procedures, and roles involved in addressing and resolving conflicts efficiently and equitably. The policy applies to all training course participants, including learners, trainers, and support staff.</w:t>
      </w:r>
    </w:p>
    <w:p w14:paraId="5F002B75" w14:textId="77777777" w:rsidR="009376A1" w:rsidRDefault="009376A1" w:rsidP="009376A1">
      <w:pPr>
        <w:pStyle w:val="Heading1"/>
      </w:pPr>
      <w:r>
        <w:t>Guiding Principles</w:t>
      </w:r>
    </w:p>
    <w:p w14:paraId="56CADDEF" w14:textId="77777777" w:rsidR="009376A1" w:rsidRDefault="009376A1" w:rsidP="009376A1">
      <w:pPr>
        <w:pStyle w:val="ListParagraph"/>
        <w:numPr>
          <w:ilvl w:val="0"/>
          <w:numId w:val="1"/>
        </w:numPr>
      </w:pPr>
      <w:r w:rsidRPr="009376A1">
        <w:t>Respect and Dignity: All participants have the right to express themselves and their perspectives in a manner that respects the dignity of others.</w:t>
      </w:r>
    </w:p>
    <w:p w14:paraId="67855072" w14:textId="77777777" w:rsidR="009376A1" w:rsidRDefault="009376A1" w:rsidP="009376A1">
      <w:pPr>
        <w:pStyle w:val="ListParagraph"/>
        <w:numPr>
          <w:ilvl w:val="0"/>
          <w:numId w:val="1"/>
        </w:numPr>
      </w:pPr>
      <w:r w:rsidRPr="009376A1">
        <w:t>Inclusivity: The learning environment must be inclusive and welcoming, ensuring that no individual is discriminated against or marginalized.</w:t>
      </w:r>
    </w:p>
    <w:p w14:paraId="31F7F934" w14:textId="77777777" w:rsidR="009376A1" w:rsidRDefault="009376A1" w:rsidP="009376A1">
      <w:pPr>
        <w:pStyle w:val="ListParagraph"/>
        <w:numPr>
          <w:ilvl w:val="0"/>
          <w:numId w:val="1"/>
        </w:numPr>
      </w:pPr>
      <w:r w:rsidRPr="009376A1">
        <w:t>Transparency: Conflict resolution procedures are communicated clearly and are accessible to all participants.</w:t>
      </w:r>
    </w:p>
    <w:p w14:paraId="0B43A9BA" w14:textId="77777777" w:rsidR="009376A1" w:rsidRDefault="009376A1" w:rsidP="009376A1">
      <w:pPr>
        <w:pStyle w:val="ListParagraph"/>
        <w:numPr>
          <w:ilvl w:val="0"/>
          <w:numId w:val="1"/>
        </w:numPr>
      </w:pPr>
      <w:r w:rsidRPr="009376A1">
        <w:t>Confidentiality: All conflict resolution processes maintain strict confidentiality to protect the privacy of those involved unless disclosure is required by law or for safety reasons.</w:t>
      </w:r>
    </w:p>
    <w:p w14:paraId="3796302B" w14:textId="77777777" w:rsidR="009376A1" w:rsidRDefault="009376A1" w:rsidP="009376A1">
      <w:pPr>
        <w:pStyle w:val="ListParagraph"/>
        <w:numPr>
          <w:ilvl w:val="0"/>
          <w:numId w:val="1"/>
        </w:numPr>
      </w:pPr>
      <w:r w:rsidRPr="009376A1">
        <w:t>Timeliness: Conflicts are addressed promptly to prevent escalation and minimize disruption.</w:t>
      </w:r>
    </w:p>
    <w:p w14:paraId="5F8F678F" w14:textId="77777777" w:rsidR="009376A1" w:rsidRDefault="009376A1" w:rsidP="009376A1">
      <w:pPr>
        <w:pStyle w:val="ListParagraph"/>
        <w:numPr>
          <w:ilvl w:val="0"/>
          <w:numId w:val="1"/>
        </w:numPr>
      </w:pPr>
      <w:r w:rsidRPr="009376A1">
        <w:t>Impartiality: Conflicts are handled by neutral parties to ensure fairness in investigation and resolution.</w:t>
      </w:r>
    </w:p>
    <w:p w14:paraId="4A53902C" w14:textId="77777777" w:rsidR="009376A1" w:rsidRDefault="009376A1" w:rsidP="009376A1">
      <w:pPr>
        <w:pStyle w:val="ListParagraph"/>
        <w:numPr>
          <w:ilvl w:val="0"/>
          <w:numId w:val="1"/>
        </w:numPr>
      </w:pPr>
      <w:r w:rsidRPr="009376A1">
        <w:t>Restorative Approach: The policy is oriented towards restoring relationships, fostering understanding, and promoting a positive learning atmosphere.</w:t>
      </w:r>
    </w:p>
    <w:p w14:paraId="4C86B592" w14:textId="77777777" w:rsidR="009376A1" w:rsidRDefault="009376A1" w:rsidP="009376A1">
      <w:pPr>
        <w:pStyle w:val="Heading1"/>
      </w:pPr>
      <w:r>
        <w:lastRenderedPageBreak/>
        <w:t>Scope of the Policy</w:t>
      </w:r>
    </w:p>
    <w:p w14:paraId="43CF3301" w14:textId="77777777" w:rsidR="009376A1" w:rsidRDefault="009376A1" w:rsidP="009376A1">
      <w:r w:rsidRPr="009376A1">
        <w:t>This policy applies to all conflicts that arise within training courses, including but not limited to:</w:t>
      </w:r>
    </w:p>
    <w:p w14:paraId="00A62DC5" w14:textId="77777777" w:rsidR="009376A1" w:rsidRDefault="009376A1" w:rsidP="009376A1">
      <w:pPr>
        <w:pStyle w:val="ListParagraph"/>
        <w:numPr>
          <w:ilvl w:val="0"/>
          <w:numId w:val="2"/>
        </w:numPr>
      </w:pPr>
      <w:r w:rsidRPr="009376A1">
        <w:t>Disagreements between participants (e.g., learners, trainers, staff)</w:t>
      </w:r>
    </w:p>
    <w:p w14:paraId="0F3AEFAC" w14:textId="77777777" w:rsidR="009376A1" w:rsidRDefault="009376A1" w:rsidP="009376A1">
      <w:pPr>
        <w:pStyle w:val="ListParagraph"/>
        <w:numPr>
          <w:ilvl w:val="0"/>
          <w:numId w:val="2"/>
        </w:numPr>
      </w:pPr>
      <w:r w:rsidRPr="009376A1">
        <w:t>Allegations of bullying or harassment</w:t>
      </w:r>
    </w:p>
    <w:p w14:paraId="576F5AE6" w14:textId="77777777" w:rsidR="009376A1" w:rsidRDefault="009376A1" w:rsidP="009376A1">
      <w:pPr>
        <w:pStyle w:val="ListParagraph"/>
        <w:numPr>
          <w:ilvl w:val="0"/>
          <w:numId w:val="2"/>
        </w:numPr>
      </w:pPr>
      <w:r w:rsidRPr="009376A1">
        <w:t>Disputes over academic integrity or assessment</w:t>
      </w:r>
    </w:p>
    <w:p w14:paraId="3922DD05" w14:textId="77777777" w:rsidR="009376A1" w:rsidRDefault="009376A1" w:rsidP="009376A1">
      <w:pPr>
        <w:pStyle w:val="ListParagraph"/>
        <w:numPr>
          <w:ilvl w:val="0"/>
          <w:numId w:val="2"/>
        </w:numPr>
      </w:pPr>
      <w:r w:rsidRPr="009376A1">
        <w:t>Concerns about the conduct of trainers or course facilitators</w:t>
      </w:r>
    </w:p>
    <w:p w14:paraId="25827221" w14:textId="77777777" w:rsidR="009376A1" w:rsidRDefault="009376A1" w:rsidP="009376A1">
      <w:pPr>
        <w:pStyle w:val="ListParagraph"/>
        <w:numPr>
          <w:ilvl w:val="0"/>
          <w:numId w:val="2"/>
        </w:numPr>
      </w:pPr>
      <w:r w:rsidRPr="009376A1">
        <w:t>Issues related to accessibility, accommodation, or learning resources</w:t>
      </w:r>
    </w:p>
    <w:p w14:paraId="77CAF496" w14:textId="77777777" w:rsidR="009376A1" w:rsidRDefault="009376A1" w:rsidP="009376A1">
      <w:pPr>
        <w:pStyle w:val="Heading1"/>
      </w:pPr>
      <w:r>
        <w:t>Types of Conflicts Covered</w:t>
      </w:r>
    </w:p>
    <w:p w14:paraId="0ACC48C2" w14:textId="77777777" w:rsidR="009376A1" w:rsidRDefault="009376A1" w:rsidP="009376A1">
      <w:pPr>
        <w:pStyle w:val="ListParagraph"/>
        <w:numPr>
          <w:ilvl w:val="0"/>
          <w:numId w:val="3"/>
        </w:numPr>
      </w:pPr>
      <w:r w:rsidRPr="009376A1">
        <w:t>Interpersonal Conflicts: Disagreements or disputes between individuals or groups arising from communication breakdowns, personality clashes, or differing expectations.</w:t>
      </w:r>
    </w:p>
    <w:p w14:paraId="678DC237" w14:textId="77777777" w:rsidR="009376A1" w:rsidRDefault="009376A1" w:rsidP="009376A1">
      <w:pPr>
        <w:pStyle w:val="ListParagraph"/>
        <w:numPr>
          <w:ilvl w:val="0"/>
          <w:numId w:val="3"/>
        </w:numPr>
      </w:pPr>
      <w:r w:rsidRPr="009376A1">
        <w:t>Academic Conflicts: Issues relating to grading, assessment, group work, or academic misconduct (e.g., plagiarism, cheating).</w:t>
      </w:r>
    </w:p>
    <w:p w14:paraId="6EDDB277" w14:textId="77777777" w:rsidR="009376A1" w:rsidRDefault="009376A1" w:rsidP="009376A1">
      <w:pPr>
        <w:pStyle w:val="ListParagraph"/>
        <w:numPr>
          <w:ilvl w:val="0"/>
          <w:numId w:val="3"/>
        </w:numPr>
      </w:pPr>
      <w:r w:rsidRPr="009376A1">
        <w:t>Organizational Conflicts: Concerns related to course structure, resource allocation, or policies affecting the learning experience.</w:t>
      </w:r>
    </w:p>
    <w:p w14:paraId="7FCDB55A" w14:textId="77777777" w:rsidR="009376A1" w:rsidRDefault="009376A1" w:rsidP="009376A1">
      <w:pPr>
        <w:pStyle w:val="ListParagraph"/>
        <w:numPr>
          <w:ilvl w:val="0"/>
          <w:numId w:val="3"/>
        </w:numPr>
      </w:pPr>
      <w:r w:rsidRPr="009376A1">
        <w:t>Discriminatory or Harassment-Related Conflicts: Any situation involving potential discrimination, bullying, or harassment based on protected characteristics (e.g., race, gender, disability, religion, age, sexual orientation, etc.).</w:t>
      </w:r>
    </w:p>
    <w:p w14:paraId="70BA196E" w14:textId="77777777" w:rsidR="009376A1" w:rsidRDefault="009376A1" w:rsidP="009376A1">
      <w:pPr>
        <w:pStyle w:val="Heading1"/>
      </w:pPr>
      <w:r>
        <w:t>Conflict Resolution Procedures</w:t>
      </w:r>
    </w:p>
    <w:p w14:paraId="507ADCFD" w14:textId="77777777" w:rsidR="009376A1" w:rsidRDefault="009376A1" w:rsidP="009376A1">
      <w:pPr>
        <w:pStyle w:val="Heading2"/>
      </w:pPr>
      <w:r>
        <w:t>1. Early Intervention and Informal Resolution</w:t>
      </w:r>
    </w:p>
    <w:p w14:paraId="63C86D79" w14:textId="77777777" w:rsidR="009376A1" w:rsidRDefault="009376A1" w:rsidP="009376A1">
      <w:r w:rsidRPr="009376A1">
        <w:t>Many conflicts can be resolved informally, at an early stage, before they escalate. This stage encourages direct and respectful dialogue between parties involved.</w:t>
      </w:r>
    </w:p>
    <w:p w14:paraId="7F11C6C5" w14:textId="77777777" w:rsidR="009376A1" w:rsidRDefault="009376A1" w:rsidP="009376A1">
      <w:pPr>
        <w:pStyle w:val="ListParagraph"/>
        <w:numPr>
          <w:ilvl w:val="0"/>
          <w:numId w:val="4"/>
        </w:numPr>
      </w:pPr>
      <w:r w:rsidRPr="009376A1">
        <w:t>Participants are encouraged to approach the person with whom they are in conflict and discuss their concerns openly and respectfully.</w:t>
      </w:r>
    </w:p>
    <w:p w14:paraId="7F9DBB84" w14:textId="77777777" w:rsidR="009376A1" w:rsidRDefault="009376A1" w:rsidP="009376A1">
      <w:pPr>
        <w:pStyle w:val="ListParagraph"/>
        <w:numPr>
          <w:ilvl w:val="0"/>
          <w:numId w:val="4"/>
        </w:numPr>
      </w:pPr>
      <w:r w:rsidRPr="009376A1">
        <w:t>If direct communication is not possible or fails to resolve the issue, participants may seek the support of a facilitator, course trainer, or staff member to mediate an informal discussion.</w:t>
      </w:r>
    </w:p>
    <w:p w14:paraId="6141029C" w14:textId="77777777" w:rsidR="009376A1" w:rsidRDefault="009376A1" w:rsidP="009376A1">
      <w:pPr>
        <w:pStyle w:val="ListParagraph"/>
        <w:numPr>
          <w:ilvl w:val="0"/>
          <w:numId w:val="4"/>
        </w:numPr>
      </w:pPr>
      <w:r w:rsidRPr="009376A1">
        <w:t>Trainers and facilitators are encouraged to recognize early signs of conflict and offer support or mediation as needed.</w:t>
      </w:r>
    </w:p>
    <w:p w14:paraId="5966F6B3" w14:textId="77777777" w:rsidR="009376A1" w:rsidRDefault="009376A1" w:rsidP="009376A1">
      <w:pPr>
        <w:pStyle w:val="ListParagraph"/>
        <w:numPr>
          <w:ilvl w:val="0"/>
          <w:numId w:val="4"/>
        </w:numPr>
      </w:pPr>
      <w:r w:rsidRPr="009376A1">
        <w:t>No formal record is kept unless requested by the participants or if the situation escalates.</w:t>
      </w:r>
    </w:p>
    <w:p w14:paraId="77780DFC" w14:textId="77777777" w:rsidR="009376A1" w:rsidRDefault="009376A1" w:rsidP="009376A1">
      <w:pPr>
        <w:pStyle w:val="Heading2"/>
      </w:pPr>
      <w:r>
        <w:lastRenderedPageBreak/>
        <w:t>2. Formal Resolution Process</w:t>
      </w:r>
    </w:p>
    <w:p w14:paraId="7496CA2C" w14:textId="77777777" w:rsidR="009376A1" w:rsidRDefault="009376A1" w:rsidP="009376A1">
      <w:r w:rsidRPr="009376A1">
        <w:t>If the conflict cannot be resolved informally, a formal complaint may be submitted. The formal process involves the following steps:</w:t>
      </w:r>
    </w:p>
    <w:p w14:paraId="31780F46" w14:textId="77777777" w:rsidR="009376A1" w:rsidRDefault="009376A1" w:rsidP="009376A1">
      <w:pPr>
        <w:pStyle w:val="ListParagraph"/>
        <w:numPr>
          <w:ilvl w:val="0"/>
          <w:numId w:val="5"/>
        </w:numPr>
      </w:pPr>
      <w:r w:rsidRPr="009376A1">
        <w:t>Submission of a Written Complaint: The complainant submits a detailed written complaint to the designated course coordinator or an appointed conflict resolution officer. The complaint should include the nature of the conflict, those involved, and any actions taken to resolve the issue informally.</w:t>
      </w:r>
    </w:p>
    <w:p w14:paraId="1846CB09" w14:textId="77777777" w:rsidR="009376A1" w:rsidRDefault="009376A1" w:rsidP="009376A1">
      <w:pPr>
        <w:pStyle w:val="ListParagraph"/>
        <w:numPr>
          <w:ilvl w:val="0"/>
          <w:numId w:val="5"/>
        </w:numPr>
      </w:pPr>
      <w:r w:rsidRPr="009376A1">
        <w:t>Initial Assessment: The conflict resolution officer reviews the complaint to determine its validity and scope. If the complaint falls within the policy’s remit, the officer proceeds; otherwise, the complainant is informed, and guidance or referrals are provided as appropriate.</w:t>
      </w:r>
    </w:p>
    <w:p w14:paraId="15CECBBB" w14:textId="77777777" w:rsidR="009376A1" w:rsidRDefault="009376A1" w:rsidP="009376A1">
      <w:pPr>
        <w:pStyle w:val="ListParagraph"/>
        <w:numPr>
          <w:ilvl w:val="0"/>
          <w:numId w:val="5"/>
        </w:numPr>
      </w:pPr>
      <w:r w:rsidRPr="009376A1">
        <w:t>Investigation: The officer conducts an impartial investigation, which may include interviews with the parties involved, collection of statements, and review of relevant documents or communications. Both sides are given an opportunity to be heard.</w:t>
      </w:r>
    </w:p>
    <w:p w14:paraId="2D9F3590" w14:textId="77777777" w:rsidR="009376A1" w:rsidRDefault="009376A1" w:rsidP="009376A1">
      <w:pPr>
        <w:pStyle w:val="ListParagraph"/>
        <w:numPr>
          <w:ilvl w:val="0"/>
          <w:numId w:val="5"/>
        </w:numPr>
      </w:pPr>
      <w:r w:rsidRPr="009376A1">
        <w:t>Mediation or Hearing: Where appropriate, the officer may arrange a mediation session or a formal hearing with all parties present, facilitated by a neutral mediator.</w:t>
      </w:r>
    </w:p>
    <w:p w14:paraId="297DBC7F" w14:textId="42DC4D7A" w:rsidR="009376A1" w:rsidRDefault="009376A1" w:rsidP="009376A1">
      <w:pPr>
        <w:pStyle w:val="ListParagraph"/>
        <w:numPr>
          <w:ilvl w:val="0"/>
          <w:numId w:val="5"/>
        </w:numPr>
      </w:pPr>
      <w:r w:rsidRPr="009376A1">
        <w:t>Decision and Resolution: Following the investigation and any mediated discussions, the officer proposes a resolution. This may include restorative actions, academic adjustments, behavioural agreements, or, in severe cases, disciplinary measures.</w:t>
      </w:r>
    </w:p>
    <w:p w14:paraId="3E590E5E" w14:textId="77777777" w:rsidR="009376A1" w:rsidRDefault="009376A1" w:rsidP="009376A1">
      <w:pPr>
        <w:pStyle w:val="ListParagraph"/>
        <w:numPr>
          <w:ilvl w:val="0"/>
          <w:numId w:val="5"/>
        </w:numPr>
      </w:pPr>
      <w:r w:rsidRPr="009376A1">
        <w:t>Communication of Outcome: The decision and reasoning are communicated in writing to all relevant parties. Information is shared only to the extent necessary and in accordance with privacy laws.</w:t>
      </w:r>
    </w:p>
    <w:p w14:paraId="1754544B" w14:textId="77777777" w:rsidR="009376A1" w:rsidRDefault="009376A1" w:rsidP="009376A1">
      <w:pPr>
        <w:pStyle w:val="ListParagraph"/>
        <w:numPr>
          <w:ilvl w:val="0"/>
          <w:numId w:val="5"/>
        </w:numPr>
      </w:pPr>
      <w:r w:rsidRPr="009376A1">
        <w:t>Right to Appeal: Any party dissatisfied with the outcome may appeal the decision according to the institution’s appeal procedures. Appeals must be submitted in writing within a specified timeframe, usually 14 days of the decision.</w:t>
      </w:r>
    </w:p>
    <w:p w14:paraId="6A3554D9" w14:textId="77777777" w:rsidR="009376A1" w:rsidRDefault="009376A1" w:rsidP="009376A1">
      <w:pPr>
        <w:pStyle w:val="Heading2"/>
      </w:pPr>
      <w:r>
        <w:t>3. Special Considerations</w:t>
      </w:r>
    </w:p>
    <w:p w14:paraId="3F25DD19" w14:textId="2B14A782" w:rsidR="009376A1" w:rsidRDefault="009376A1" w:rsidP="009376A1">
      <w:pPr>
        <w:pStyle w:val="ListParagraph"/>
        <w:numPr>
          <w:ilvl w:val="0"/>
          <w:numId w:val="6"/>
        </w:numPr>
      </w:pPr>
      <w:r w:rsidRPr="009376A1">
        <w:t>For conflicts involving allegations of discrimination, harassment, or threats to safety, the process may include additional steps or the involvement of speciali</w:t>
      </w:r>
      <w:r>
        <w:t>s</w:t>
      </w:r>
      <w:r w:rsidRPr="009376A1">
        <w:t>ed personnel (e.g., equity officers, security, legal counsel).</w:t>
      </w:r>
    </w:p>
    <w:p w14:paraId="4FF64663" w14:textId="77777777" w:rsidR="009376A1" w:rsidRDefault="009376A1" w:rsidP="009376A1">
      <w:pPr>
        <w:pStyle w:val="ListParagraph"/>
        <w:numPr>
          <w:ilvl w:val="0"/>
          <w:numId w:val="6"/>
        </w:numPr>
      </w:pPr>
      <w:r w:rsidRPr="009376A1">
        <w:t>Conflicts that potentially violate the law will be reported to relevant authorities as required.</w:t>
      </w:r>
    </w:p>
    <w:p w14:paraId="007E633D" w14:textId="77777777" w:rsidR="009376A1" w:rsidRDefault="009376A1" w:rsidP="009376A1">
      <w:pPr>
        <w:pStyle w:val="Heading1"/>
      </w:pPr>
      <w:r>
        <w:lastRenderedPageBreak/>
        <w:t>Roles and Responsibilities</w:t>
      </w:r>
    </w:p>
    <w:p w14:paraId="022DD583" w14:textId="77777777" w:rsidR="009376A1" w:rsidRDefault="009376A1" w:rsidP="009376A1">
      <w:pPr>
        <w:pStyle w:val="ListParagraph"/>
        <w:numPr>
          <w:ilvl w:val="0"/>
          <w:numId w:val="7"/>
        </w:numPr>
      </w:pPr>
      <w:r w:rsidRPr="009376A1">
        <w:t>Learners: Engage in respectful communication, report conflicts promptly, and participate in resolution processes in good faith.</w:t>
      </w:r>
    </w:p>
    <w:p w14:paraId="04B581FE" w14:textId="77777777" w:rsidR="009376A1" w:rsidRDefault="009376A1" w:rsidP="009376A1">
      <w:pPr>
        <w:pStyle w:val="ListParagraph"/>
        <w:numPr>
          <w:ilvl w:val="0"/>
          <w:numId w:val="7"/>
        </w:numPr>
      </w:pPr>
      <w:r w:rsidRPr="009376A1">
        <w:t>Trainers/Facilitators: Foster a positive learning environment, recognize and address early signs of conflict, and mediate where appropriate.</w:t>
      </w:r>
    </w:p>
    <w:p w14:paraId="02732202" w14:textId="77777777" w:rsidR="009376A1" w:rsidRDefault="009376A1" w:rsidP="009376A1">
      <w:pPr>
        <w:pStyle w:val="ListParagraph"/>
        <w:numPr>
          <w:ilvl w:val="0"/>
          <w:numId w:val="7"/>
        </w:numPr>
      </w:pPr>
      <w:r w:rsidRPr="009376A1">
        <w:t>Support Staff: Provide administrative support and maintain records of formal complaints and outcomes.</w:t>
      </w:r>
    </w:p>
    <w:p w14:paraId="31C9DBF8" w14:textId="77777777" w:rsidR="009376A1" w:rsidRDefault="009376A1" w:rsidP="009376A1">
      <w:pPr>
        <w:pStyle w:val="ListParagraph"/>
        <w:numPr>
          <w:ilvl w:val="0"/>
          <w:numId w:val="7"/>
        </w:numPr>
      </w:pPr>
      <w:r w:rsidRPr="009376A1">
        <w:t>Conflict Resolution Officer: Oversee the formal resolution process, ensure impartiality, and safeguard confidentiality.</w:t>
      </w:r>
    </w:p>
    <w:p w14:paraId="2DDA8CCA" w14:textId="77777777" w:rsidR="009376A1" w:rsidRDefault="009376A1" w:rsidP="009376A1">
      <w:pPr>
        <w:pStyle w:val="ListParagraph"/>
        <w:numPr>
          <w:ilvl w:val="0"/>
          <w:numId w:val="7"/>
        </w:numPr>
      </w:pPr>
      <w:r w:rsidRPr="009376A1">
        <w:t>Institutional Leadership: Ensure that conflict resolution resources and training are available, and that the policy is regularly reviewed and updated.</w:t>
      </w:r>
    </w:p>
    <w:p w14:paraId="5F3AB5C8" w14:textId="77777777" w:rsidR="009376A1" w:rsidRDefault="009376A1" w:rsidP="009376A1">
      <w:pPr>
        <w:pStyle w:val="Heading1"/>
      </w:pPr>
      <w:r>
        <w:t>Training and Awareness</w:t>
      </w:r>
    </w:p>
    <w:p w14:paraId="683248EB" w14:textId="77777777" w:rsidR="009376A1" w:rsidRDefault="009376A1" w:rsidP="009376A1">
      <w:pPr>
        <w:pStyle w:val="ListParagraph"/>
        <w:numPr>
          <w:ilvl w:val="0"/>
          <w:numId w:val="8"/>
        </w:numPr>
      </w:pPr>
      <w:r w:rsidRPr="009376A1">
        <w:t>All participants should receive orientation on the conflict resolution policy during course induction.</w:t>
      </w:r>
    </w:p>
    <w:p w14:paraId="67BDD015" w14:textId="77777777" w:rsidR="009376A1" w:rsidRDefault="009376A1" w:rsidP="009376A1">
      <w:pPr>
        <w:pStyle w:val="ListParagraph"/>
        <w:numPr>
          <w:ilvl w:val="0"/>
          <w:numId w:val="8"/>
        </w:numPr>
      </w:pPr>
      <w:r w:rsidRPr="009376A1">
        <w:t>Trainers and staff are provided with ongoing professional development in conflict management, mediation, and cultural competency.</w:t>
      </w:r>
    </w:p>
    <w:p w14:paraId="3878C211" w14:textId="77777777" w:rsidR="009376A1" w:rsidRDefault="009376A1" w:rsidP="009376A1">
      <w:pPr>
        <w:pStyle w:val="ListParagraph"/>
        <w:numPr>
          <w:ilvl w:val="0"/>
          <w:numId w:val="8"/>
        </w:numPr>
      </w:pPr>
      <w:r w:rsidRPr="009376A1">
        <w:t xml:space="preserve">Clear documentation, resources, and support contacts should </w:t>
      </w:r>
      <w:proofErr w:type="gramStart"/>
      <w:r w:rsidRPr="009376A1">
        <w:t>be accessible at all times</w:t>
      </w:r>
      <w:proofErr w:type="gramEnd"/>
      <w:r w:rsidRPr="009376A1">
        <w:t xml:space="preserve"> (e.g., online portals, course handbooks).</w:t>
      </w:r>
    </w:p>
    <w:p w14:paraId="7DEB3685" w14:textId="77777777" w:rsidR="009376A1" w:rsidRDefault="009376A1" w:rsidP="009376A1">
      <w:pPr>
        <w:pStyle w:val="Heading1"/>
      </w:pPr>
      <w:r>
        <w:t>Monitoring and Review</w:t>
      </w:r>
    </w:p>
    <w:p w14:paraId="0C8CDF0F" w14:textId="77777777" w:rsidR="009376A1" w:rsidRDefault="009376A1" w:rsidP="009376A1">
      <w:pPr>
        <w:pStyle w:val="ListParagraph"/>
        <w:numPr>
          <w:ilvl w:val="0"/>
          <w:numId w:val="9"/>
        </w:numPr>
      </w:pPr>
      <w:r w:rsidRPr="009376A1">
        <w:t>The institution is committed to regularly reviewing conflict resolution procedures and outcomes to ensure their effectiveness and fairness.</w:t>
      </w:r>
    </w:p>
    <w:p w14:paraId="31EFEF44" w14:textId="77777777" w:rsidR="009376A1" w:rsidRDefault="009376A1" w:rsidP="009376A1">
      <w:pPr>
        <w:pStyle w:val="ListParagraph"/>
        <w:numPr>
          <w:ilvl w:val="0"/>
          <w:numId w:val="9"/>
        </w:numPr>
      </w:pPr>
      <w:r w:rsidRPr="009376A1">
        <w:t>Feedback from participants is actively sought and used to improve both the policy and its implementation.</w:t>
      </w:r>
    </w:p>
    <w:p w14:paraId="268ED159" w14:textId="77777777" w:rsidR="009376A1" w:rsidRDefault="009376A1" w:rsidP="009376A1">
      <w:pPr>
        <w:pStyle w:val="ListParagraph"/>
        <w:numPr>
          <w:ilvl w:val="0"/>
          <w:numId w:val="9"/>
        </w:numPr>
      </w:pPr>
      <w:r w:rsidRPr="009376A1">
        <w:t>Records of formal complaints, resolutions, and appeals (anonymized as appropriate) are maintained to identify trends and areas for improvement.</w:t>
      </w:r>
    </w:p>
    <w:p w14:paraId="6745405F" w14:textId="77777777" w:rsidR="009376A1" w:rsidRDefault="009376A1" w:rsidP="009376A1">
      <w:pPr>
        <w:pStyle w:val="Heading1"/>
      </w:pPr>
      <w:r>
        <w:t>Retaliation and Protection</w:t>
      </w:r>
    </w:p>
    <w:p w14:paraId="07C04C05" w14:textId="77777777" w:rsidR="009376A1" w:rsidRDefault="009376A1" w:rsidP="009376A1">
      <w:pPr>
        <w:pStyle w:val="ListParagraph"/>
        <w:numPr>
          <w:ilvl w:val="0"/>
          <w:numId w:val="10"/>
        </w:numPr>
      </w:pPr>
      <w:r w:rsidRPr="009376A1">
        <w:t>Retaliation against any participant for raising a concern or participating in a conflict resolution process is strictly prohibited and may result in disciplinary action.</w:t>
      </w:r>
    </w:p>
    <w:p w14:paraId="497BD039" w14:textId="1E305BA3" w:rsidR="009376A1" w:rsidRDefault="009376A1" w:rsidP="009376A1">
      <w:pPr>
        <w:pStyle w:val="ListParagraph"/>
        <w:numPr>
          <w:ilvl w:val="0"/>
          <w:numId w:val="10"/>
        </w:numPr>
      </w:pPr>
      <w:r w:rsidRPr="009376A1">
        <w:t>Support is available for all parties involved, including access to counselling and advocacy services.</w:t>
      </w:r>
    </w:p>
    <w:p w14:paraId="07FEA37E" w14:textId="77777777" w:rsidR="009376A1" w:rsidRDefault="009376A1" w:rsidP="009376A1">
      <w:pPr>
        <w:pStyle w:val="Heading1"/>
      </w:pPr>
      <w:r>
        <w:lastRenderedPageBreak/>
        <w:t>Conclusion</w:t>
      </w:r>
    </w:p>
    <w:p w14:paraId="735A0FE9" w14:textId="77777777" w:rsidR="009376A1" w:rsidRDefault="009376A1" w:rsidP="009376A1">
      <w:r w:rsidRPr="009376A1">
        <w:t>A robust conflict resolution policy is vital for maintaining the integrity and effectiveness of training courses. By setting clear expectations, providing accessible procedures, and fostering a culture of respect, institutions can help ensure that conflicts are transformed into opportunities for learning, growth, and strengthened community.</w:t>
      </w:r>
    </w:p>
    <w:p w14:paraId="5C865102" w14:textId="713AAF0A" w:rsidR="009376A1" w:rsidRPr="009376A1" w:rsidRDefault="009376A1" w:rsidP="009376A1">
      <w:r w:rsidRPr="009376A1">
        <w:t>This policy stands as a living document and is subject to ongoing review to meet the evolving needs of learners and educators alike.</w:t>
      </w:r>
    </w:p>
    <w:p w14:paraId="515CD28C" w14:textId="1DC2FD90" w:rsidR="009376A1" w:rsidRPr="009376A1" w:rsidRDefault="009376A1" w:rsidP="009376A1"/>
    <w:sectPr w:rsidR="009376A1" w:rsidRPr="009376A1">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58DFF5" w14:textId="77777777" w:rsidR="009376A1" w:rsidRDefault="009376A1" w:rsidP="009376A1">
      <w:pPr>
        <w:spacing w:after="0" w:line="240" w:lineRule="auto"/>
      </w:pPr>
      <w:r>
        <w:separator/>
      </w:r>
    </w:p>
  </w:endnote>
  <w:endnote w:type="continuationSeparator" w:id="0">
    <w:p w14:paraId="152CBD8D" w14:textId="77777777" w:rsidR="009376A1" w:rsidRDefault="009376A1" w:rsidP="009376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E767A" w14:textId="12719F37" w:rsidR="009376A1" w:rsidRDefault="009376A1">
    <w:pPr>
      <w:pStyle w:val="Footer"/>
    </w:pPr>
    <w:r>
      <w:t>Reviewed 28</w:t>
    </w:r>
    <w:r w:rsidRPr="009376A1">
      <w:rPr>
        <w:vertAlign w:val="superscript"/>
      </w:rPr>
      <w:t>th</w:t>
    </w:r>
    <w:r>
      <w:t xml:space="preserve"> July 2025</w:t>
    </w:r>
    <w:r>
      <w:tab/>
    </w:r>
    <w:r>
      <w:tab/>
      <w:t>Version 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8AFA3E" w14:textId="77777777" w:rsidR="009376A1" w:rsidRDefault="009376A1" w:rsidP="009376A1">
      <w:pPr>
        <w:spacing w:after="0" w:line="240" w:lineRule="auto"/>
      </w:pPr>
      <w:r>
        <w:separator/>
      </w:r>
    </w:p>
  </w:footnote>
  <w:footnote w:type="continuationSeparator" w:id="0">
    <w:p w14:paraId="08902E8E" w14:textId="77777777" w:rsidR="009376A1" w:rsidRDefault="009376A1" w:rsidP="009376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B2204" w14:textId="17482F60" w:rsidR="009376A1" w:rsidRDefault="009376A1">
    <w:pPr>
      <w:pStyle w:val="Header"/>
    </w:pPr>
    <w:r>
      <w:t>Killick Medical Services Ltd – Conflict Resolution Policy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0332E"/>
    <w:multiLevelType w:val="hybridMultilevel"/>
    <w:tmpl w:val="313E91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722380"/>
    <w:multiLevelType w:val="hybridMultilevel"/>
    <w:tmpl w:val="446094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2321317"/>
    <w:multiLevelType w:val="hybridMultilevel"/>
    <w:tmpl w:val="2D2AFD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37C751F"/>
    <w:multiLevelType w:val="hybridMultilevel"/>
    <w:tmpl w:val="E69A44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7CE4021"/>
    <w:multiLevelType w:val="hybridMultilevel"/>
    <w:tmpl w:val="EBE08A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71C7DFE"/>
    <w:multiLevelType w:val="hybridMultilevel"/>
    <w:tmpl w:val="9E78E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8B40044"/>
    <w:multiLevelType w:val="hybridMultilevel"/>
    <w:tmpl w:val="C4E298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54D54B8"/>
    <w:multiLevelType w:val="hybridMultilevel"/>
    <w:tmpl w:val="C8FA95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38E4064"/>
    <w:multiLevelType w:val="hybridMultilevel"/>
    <w:tmpl w:val="17CC5A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3BE736B"/>
    <w:multiLevelType w:val="hybridMultilevel"/>
    <w:tmpl w:val="226040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13369380">
    <w:abstractNumId w:val="4"/>
  </w:num>
  <w:num w:numId="2" w16cid:durableId="2052999831">
    <w:abstractNumId w:val="7"/>
  </w:num>
  <w:num w:numId="3" w16cid:durableId="1018583169">
    <w:abstractNumId w:val="3"/>
  </w:num>
  <w:num w:numId="4" w16cid:durableId="739206759">
    <w:abstractNumId w:val="8"/>
  </w:num>
  <w:num w:numId="5" w16cid:durableId="347877199">
    <w:abstractNumId w:val="1"/>
  </w:num>
  <w:num w:numId="6" w16cid:durableId="427585964">
    <w:abstractNumId w:val="2"/>
  </w:num>
  <w:num w:numId="7" w16cid:durableId="283587545">
    <w:abstractNumId w:val="9"/>
  </w:num>
  <w:num w:numId="8" w16cid:durableId="913590855">
    <w:abstractNumId w:val="6"/>
  </w:num>
  <w:num w:numId="9" w16cid:durableId="1320576368">
    <w:abstractNumId w:val="5"/>
  </w:num>
  <w:num w:numId="10" w16cid:durableId="9954978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6A1"/>
    <w:rsid w:val="009376A1"/>
    <w:rsid w:val="00A416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CEF0B1A"/>
  <w15:chartTrackingRefBased/>
  <w15:docId w15:val="{E6BF8739-D793-874B-A0D3-8F96A8E31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376A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376A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376A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376A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376A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376A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376A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376A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376A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76A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376A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376A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376A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376A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376A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376A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376A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376A1"/>
    <w:rPr>
      <w:rFonts w:eastAsiaTheme="majorEastAsia" w:cstheme="majorBidi"/>
      <w:color w:val="272727" w:themeColor="text1" w:themeTint="D8"/>
    </w:rPr>
  </w:style>
  <w:style w:type="paragraph" w:styleId="Title">
    <w:name w:val="Title"/>
    <w:basedOn w:val="Normal"/>
    <w:next w:val="Normal"/>
    <w:link w:val="TitleChar"/>
    <w:uiPriority w:val="10"/>
    <w:qFormat/>
    <w:rsid w:val="009376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76A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376A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376A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376A1"/>
    <w:pPr>
      <w:spacing w:before="160"/>
      <w:jc w:val="center"/>
    </w:pPr>
    <w:rPr>
      <w:i/>
      <w:iCs/>
      <w:color w:val="404040" w:themeColor="text1" w:themeTint="BF"/>
    </w:rPr>
  </w:style>
  <w:style w:type="character" w:customStyle="1" w:styleId="QuoteChar">
    <w:name w:val="Quote Char"/>
    <w:basedOn w:val="DefaultParagraphFont"/>
    <w:link w:val="Quote"/>
    <w:uiPriority w:val="29"/>
    <w:rsid w:val="009376A1"/>
    <w:rPr>
      <w:i/>
      <w:iCs/>
      <w:color w:val="404040" w:themeColor="text1" w:themeTint="BF"/>
    </w:rPr>
  </w:style>
  <w:style w:type="paragraph" w:styleId="ListParagraph">
    <w:name w:val="List Paragraph"/>
    <w:basedOn w:val="Normal"/>
    <w:uiPriority w:val="34"/>
    <w:qFormat/>
    <w:rsid w:val="009376A1"/>
    <w:pPr>
      <w:ind w:left="720"/>
      <w:contextualSpacing/>
    </w:pPr>
  </w:style>
  <w:style w:type="character" w:styleId="IntenseEmphasis">
    <w:name w:val="Intense Emphasis"/>
    <w:basedOn w:val="DefaultParagraphFont"/>
    <w:uiPriority w:val="21"/>
    <w:qFormat/>
    <w:rsid w:val="009376A1"/>
    <w:rPr>
      <w:i/>
      <w:iCs/>
      <w:color w:val="0F4761" w:themeColor="accent1" w:themeShade="BF"/>
    </w:rPr>
  </w:style>
  <w:style w:type="paragraph" w:styleId="IntenseQuote">
    <w:name w:val="Intense Quote"/>
    <w:basedOn w:val="Normal"/>
    <w:next w:val="Normal"/>
    <w:link w:val="IntenseQuoteChar"/>
    <w:uiPriority w:val="30"/>
    <w:qFormat/>
    <w:rsid w:val="009376A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376A1"/>
    <w:rPr>
      <w:i/>
      <w:iCs/>
      <w:color w:val="0F4761" w:themeColor="accent1" w:themeShade="BF"/>
    </w:rPr>
  </w:style>
  <w:style w:type="character" w:styleId="IntenseReference">
    <w:name w:val="Intense Reference"/>
    <w:basedOn w:val="DefaultParagraphFont"/>
    <w:uiPriority w:val="32"/>
    <w:qFormat/>
    <w:rsid w:val="009376A1"/>
    <w:rPr>
      <w:b/>
      <w:bCs/>
      <w:smallCaps/>
      <w:color w:val="0F4761" w:themeColor="accent1" w:themeShade="BF"/>
      <w:spacing w:val="5"/>
    </w:rPr>
  </w:style>
  <w:style w:type="paragraph" w:styleId="Header">
    <w:name w:val="header"/>
    <w:basedOn w:val="Normal"/>
    <w:link w:val="HeaderChar"/>
    <w:uiPriority w:val="99"/>
    <w:unhideWhenUsed/>
    <w:rsid w:val="009376A1"/>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76A1"/>
  </w:style>
  <w:style w:type="paragraph" w:styleId="Footer">
    <w:name w:val="footer"/>
    <w:basedOn w:val="Normal"/>
    <w:link w:val="FooterChar"/>
    <w:uiPriority w:val="99"/>
    <w:unhideWhenUsed/>
    <w:rsid w:val="009376A1"/>
    <w:pPr>
      <w:tabs>
        <w:tab w:val="center" w:pos="4513"/>
        <w:tab w:val="right" w:pos="9026"/>
      </w:tabs>
      <w:spacing w:after="0" w:line="240" w:lineRule="auto"/>
    </w:pPr>
  </w:style>
  <w:style w:type="character" w:customStyle="1" w:styleId="FooterChar">
    <w:name w:val="Footer Char"/>
    <w:basedOn w:val="DefaultParagraphFont"/>
    <w:link w:val="Footer"/>
    <w:uiPriority w:val="99"/>
    <w:rsid w:val="009376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5</Pages>
  <Words>1230</Words>
  <Characters>7017</Characters>
  <Application>Microsoft Office Word</Application>
  <DocSecurity>0</DocSecurity>
  <Lines>58</Lines>
  <Paragraphs>16</Paragraphs>
  <ScaleCrop>false</ScaleCrop>
  <Company/>
  <LinksUpToDate>false</LinksUpToDate>
  <CharactersWithSpaces>8231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Stacey Upton</dc:creator>
  <cp:keywords/>
  <dc:description/>
  <cp:lastModifiedBy>Stacey Upton</cp:lastModifiedBy>
  <cp:revision>1</cp:revision>
  <dcterms:created xsi:type="dcterms:W3CDTF">2025-07-27T00:58:00Z</dcterms:created>
  <dcterms:modified xsi:type="dcterms:W3CDTF">2025-07-27T01:02:00Z</dcterms:modified>
</cp:coreProperties>
</file>